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62" w:rsidRDefault="00565962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DHD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A0EC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565962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565962">
        <w:rPr>
          <w:rFonts w:ascii="Arial" w:hAnsi="Arial" w:cs="Arial"/>
          <w:sz w:val="20"/>
          <w:szCs w:val="20"/>
        </w:rPr>
        <w:t>03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4F4BC0" w:rsidRPr="004F4BC0">
        <w:rPr>
          <w:rFonts w:ascii="Arial" w:hAnsi="Arial" w:cs="Arial"/>
          <w:sz w:val="20"/>
          <w:szCs w:val="20"/>
        </w:rPr>
        <w:t>Hai</w:t>
      </w:r>
      <w:proofErr w:type="spellEnd"/>
      <w:r w:rsidR="004F4BC0" w:rsidRPr="004F4BC0">
        <w:rPr>
          <w:rFonts w:ascii="Arial" w:hAnsi="Arial" w:cs="Arial"/>
          <w:sz w:val="20"/>
          <w:szCs w:val="20"/>
        </w:rPr>
        <w:t xml:space="preserve"> Duong Pharmaceutical Medical Material Joint Stock Company</w:t>
      </w:r>
      <w:r w:rsidR="004F4BC0"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565962" w:rsidRDefault="00565962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5962">
        <w:rPr>
          <w:rFonts w:ascii="Arial" w:hAnsi="Arial" w:cs="Arial"/>
          <w:sz w:val="20"/>
          <w:szCs w:val="20"/>
        </w:rPr>
        <w:t xml:space="preserve">Article 1: </w:t>
      </w:r>
      <w:r>
        <w:rPr>
          <w:rFonts w:ascii="Arial" w:hAnsi="Arial" w:cs="Arial"/>
          <w:sz w:val="20"/>
          <w:szCs w:val="20"/>
        </w:rPr>
        <w:t>Approve the</w:t>
      </w:r>
      <w:r w:rsidRPr="00565962">
        <w:rPr>
          <w:rFonts w:ascii="Arial" w:hAnsi="Arial" w:cs="Arial"/>
          <w:sz w:val="20"/>
          <w:szCs w:val="20"/>
        </w:rPr>
        <w:t xml:space="preserve"> implement</w:t>
      </w:r>
      <w:r>
        <w:rPr>
          <w:rFonts w:ascii="Arial" w:hAnsi="Arial" w:cs="Arial"/>
          <w:sz w:val="20"/>
          <w:szCs w:val="20"/>
        </w:rPr>
        <w:t>ation of</w:t>
      </w:r>
      <w:r w:rsidRPr="00565962">
        <w:rPr>
          <w:rFonts w:ascii="Arial" w:hAnsi="Arial" w:cs="Arial"/>
          <w:sz w:val="20"/>
          <w:szCs w:val="20"/>
        </w:rPr>
        <w:t xml:space="preserve"> the plan for </w:t>
      </w:r>
      <w:r>
        <w:rPr>
          <w:rFonts w:ascii="Arial" w:hAnsi="Arial" w:cs="Arial"/>
          <w:sz w:val="20"/>
          <w:szCs w:val="20"/>
        </w:rPr>
        <w:t>issuing shares for dividend payment of</w:t>
      </w:r>
      <w:r w:rsidRPr="00565962">
        <w:rPr>
          <w:rFonts w:ascii="Arial" w:hAnsi="Arial" w:cs="Arial"/>
          <w:sz w:val="20"/>
          <w:szCs w:val="20"/>
        </w:rPr>
        <w:t xml:space="preserve"> 2019 </w:t>
      </w:r>
      <w:r>
        <w:rPr>
          <w:rFonts w:ascii="Arial" w:hAnsi="Arial" w:cs="Arial"/>
          <w:sz w:val="20"/>
          <w:szCs w:val="20"/>
        </w:rPr>
        <w:t>based on</w:t>
      </w:r>
      <w:r w:rsidRPr="00565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General Mandate dated</w:t>
      </w:r>
      <w:r w:rsidRPr="00565962">
        <w:rPr>
          <w:rFonts w:ascii="Arial" w:hAnsi="Arial" w:cs="Arial"/>
          <w:sz w:val="20"/>
          <w:szCs w:val="20"/>
        </w:rPr>
        <w:t xml:space="preserve"> March 31, 2020, as follows:  </w:t>
      </w:r>
    </w:p>
    <w:p w:rsidR="00565962" w:rsidRDefault="00565962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 on dividend payment by </w:t>
      </w:r>
      <w:r w:rsidRPr="00565962">
        <w:rPr>
          <w:rFonts w:ascii="Arial" w:hAnsi="Arial" w:cs="Arial"/>
          <w:sz w:val="20"/>
          <w:szCs w:val="20"/>
        </w:rPr>
        <w:t>shares to increas</w:t>
      </w:r>
      <w:r>
        <w:rPr>
          <w:rFonts w:ascii="Arial" w:hAnsi="Arial" w:cs="Arial"/>
          <w:sz w:val="20"/>
          <w:szCs w:val="20"/>
        </w:rPr>
        <w:t>e charter 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565962" w:rsidTr="00565962">
        <w:tc>
          <w:tcPr>
            <w:tcW w:w="2988" w:type="dxa"/>
          </w:tcPr>
          <w:p w:rsidR="00565962" w:rsidRDefault="00565962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Issuer</w:t>
            </w:r>
          </w:p>
        </w:tc>
        <w:tc>
          <w:tcPr>
            <w:tcW w:w="6588" w:type="dxa"/>
          </w:tcPr>
          <w:p w:rsidR="00565962" w:rsidRDefault="00565962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962">
              <w:rPr>
                <w:rFonts w:ascii="Arial" w:hAnsi="Arial" w:cs="Arial"/>
                <w:sz w:val="20"/>
                <w:szCs w:val="20"/>
              </w:rPr>
              <w:t>Hai</w:t>
            </w:r>
            <w:proofErr w:type="spellEnd"/>
            <w:r w:rsidRPr="00565962">
              <w:rPr>
                <w:rFonts w:ascii="Arial" w:hAnsi="Arial" w:cs="Arial"/>
                <w:sz w:val="20"/>
                <w:szCs w:val="20"/>
              </w:rPr>
              <w:t xml:space="preserve"> Duong Pharmaceutical </w:t>
            </w:r>
            <w:r w:rsidR="004F4BC0">
              <w:rPr>
                <w:rFonts w:ascii="Arial" w:hAnsi="Arial" w:cs="Arial"/>
                <w:sz w:val="20"/>
                <w:szCs w:val="20"/>
              </w:rPr>
              <w:t>Medical Material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Joint Stock Company</w:t>
            </w:r>
          </w:p>
        </w:tc>
      </w:tr>
      <w:tr w:rsidR="00565962" w:rsidTr="00565962">
        <w:tc>
          <w:tcPr>
            <w:tcW w:w="2988" w:type="dxa"/>
          </w:tcPr>
          <w:p w:rsidR="00565962" w:rsidRDefault="00565962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65962">
              <w:rPr>
                <w:rFonts w:ascii="Arial" w:hAnsi="Arial" w:cs="Arial"/>
                <w:sz w:val="20"/>
                <w:szCs w:val="20"/>
              </w:rPr>
              <w:t>Type of stock</w:t>
            </w:r>
          </w:p>
        </w:tc>
        <w:tc>
          <w:tcPr>
            <w:tcW w:w="6588" w:type="dxa"/>
          </w:tcPr>
          <w:p w:rsidR="00565962" w:rsidRDefault="00565962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share</w:t>
            </w:r>
          </w:p>
        </w:tc>
      </w:tr>
      <w:tr w:rsidR="00565962" w:rsidTr="00565962">
        <w:tc>
          <w:tcPr>
            <w:tcW w:w="29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shares to be issued</w:t>
            </w:r>
          </w:p>
        </w:tc>
        <w:tc>
          <w:tcPr>
            <w:tcW w:w="6588" w:type="dxa"/>
          </w:tcPr>
          <w:p w:rsidR="00565962" w:rsidRDefault="00565962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Pr="00565962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65962">
              <w:rPr>
                <w:rFonts w:ascii="Arial" w:hAnsi="Arial" w:cs="Arial"/>
                <w:sz w:val="20"/>
                <w:szCs w:val="20"/>
              </w:rPr>
              <w:t>000 shares</w:t>
            </w:r>
          </w:p>
        </w:tc>
      </w:tr>
      <w:tr w:rsidR="00565962" w:rsidTr="00565962">
        <w:tc>
          <w:tcPr>
            <w:tcW w:w="29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962">
              <w:rPr>
                <w:rFonts w:ascii="Arial" w:hAnsi="Arial" w:cs="Arial"/>
                <w:sz w:val="20"/>
                <w:szCs w:val="20"/>
              </w:rPr>
              <w:t xml:space="preserve">4. Total </w:t>
            </w:r>
            <w:r>
              <w:rPr>
                <w:rFonts w:ascii="Arial" w:hAnsi="Arial" w:cs="Arial"/>
                <w:sz w:val="20"/>
                <w:szCs w:val="20"/>
              </w:rPr>
              <w:t>par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65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962">
              <w:rPr>
                <w:rFonts w:ascii="Arial" w:hAnsi="Arial" w:cs="Arial"/>
                <w:sz w:val="20"/>
                <w:szCs w:val="20"/>
              </w:rPr>
              <w:t>VND 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65962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65962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6596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565962" w:rsidTr="00565962">
        <w:tc>
          <w:tcPr>
            <w:tcW w:w="29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962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Par value</w:t>
            </w:r>
          </w:p>
        </w:tc>
        <w:tc>
          <w:tcPr>
            <w:tcW w:w="65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962">
              <w:rPr>
                <w:rFonts w:ascii="Arial" w:hAnsi="Arial" w:cs="Arial"/>
                <w:sz w:val="20"/>
                <w:szCs w:val="20"/>
              </w:rPr>
              <w:t>VND 10</w:t>
            </w:r>
            <w:r>
              <w:rPr>
                <w:rFonts w:ascii="Arial" w:hAnsi="Arial" w:cs="Arial"/>
                <w:sz w:val="20"/>
                <w:szCs w:val="20"/>
              </w:rPr>
              <w:t>,000/</w:t>
            </w:r>
            <w:r w:rsidRPr="00565962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</w:tr>
      <w:tr w:rsidR="00565962" w:rsidTr="00565962">
        <w:tc>
          <w:tcPr>
            <w:tcW w:w="29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962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Issue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purpose </w:t>
            </w:r>
          </w:p>
        </w:tc>
        <w:tc>
          <w:tcPr>
            <w:tcW w:w="6588" w:type="dxa"/>
          </w:tcPr>
          <w:p w:rsidR="00565962" w:rsidRDefault="00565962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i</w:t>
            </w:r>
            <w:r w:rsidR="004F4BC0">
              <w:rPr>
                <w:rFonts w:ascii="Arial" w:hAnsi="Arial" w:cs="Arial"/>
                <w:sz w:val="20"/>
                <w:szCs w:val="20"/>
              </w:rPr>
              <w:t>ncrease charter capital of the C</w:t>
            </w:r>
            <w:r w:rsidRPr="00565962">
              <w:rPr>
                <w:rFonts w:ascii="Arial" w:hAnsi="Arial" w:cs="Arial"/>
                <w:sz w:val="20"/>
                <w:szCs w:val="20"/>
              </w:rPr>
              <w:t>ompany by</w:t>
            </w:r>
            <w:r>
              <w:rPr>
                <w:rFonts w:ascii="Arial" w:hAnsi="Arial" w:cs="Arial"/>
                <w:sz w:val="20"/>
                <w:szCs w:val="20"/>
              </w:rPr>
              <w:t xml:space="preserve"> issuing shares </w:t>
            </w:r>
            <w:r w:rsidR="004F4BC0">
              <w:rPr>
                <w:rFonts w:ascii="Arial" w:hAnsi="Arial" w:cs="Arial"/>
                <w:sz w:val="20"/>
                <w:szCs w:val="20"/>
              </w:rPr>
              <w:t xml:space="preserve">for dividend payment </w:t>
            </w:r>
          </w:p>
        </w:tc>
      </w:tr>
      <w:tr w:rsidR="00565962" w:rsidTr="00565962">
        <w:tc>
          <w:tcPr>
            <w:tcW w:w="2988" w:type="dxa"/>
          </w:tcPr>
          <w:p w:rsidR="00565962" w:rsidRP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Capital res</w:t>
            </w:r>
            <w:r w:rsidRPr="00565962">
              <w:rPr>
                <w:rFonts w:ascii="Arial" w:hAnsi="Arial" w:cs="Arial"/>
                <w:sz w:val="20"/>
                <w:szCs w:val="20"/>
              </w:rPr>
              <w:t>ource</w:t>
            </w:r>
          </w:p>
        </w:tc>
        <w:tc>
          <w:tcPr>
            <w:tcW w:w="6588" w:type="dxa"/>
          </w:tcPr>
          <w:p w:rsidR="00565962" w:rsidRDefault="00565962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Retained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after-tax profit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31 Decem</w:t>
            </w:r>
            <w:r>
              <w:rPr>
                <w:rFonts w:ascii="Arial" w:hAnsi="Arial" w:cs="Arial"/>
                <w:sz w:val="20"/>
                <w:szCs w:val="20"/>
              </w:rPr>
              <w:t>ber 2019 in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the audited financial statements of 2019 of </w:t>
            </w:r>
            <w:proofErr w:type="spellStart"/>
            <w:r w:rsidRPr="00565962">
              <w:rPr>
                <w:rFonts w:ascii="Arial" w:hAnsi="Arial" w:cs="Arial"/>
                <w:sz w:val="20"/>
                <w:szCs w:val="20"/>
              </w:rPr>
              <w:t>Hai</w:t>
            </w:r>
            <w:proofErr w:type="spellEnd"/>
            <w:r w:rsidRPr="00565962">
              <w:rPr>
                <w:rFonts w:ascii="Arial" w:hAnsi="Arial" w:cs="Arial"/>
                <w:sz w:val="20"/>
                <w:szCs w:val="20"/>
              </w:rPr>
              <w:t xml:space="preserve"> Duong Pharmaceutical </w:t>
            </w:r>
            <w:r w:rsidR="004F4BC0">
              <w:rPr>
                <w:rFonts w:ascii="Arial" w:hAnsi="Arial" w:cs="Arial"/>
                <w:sz w:val="20"/>
                <w:szCs w:val="20"/>
              </w:rPr>
              <w:t>Medical M</w:t>
            </w:r>
            <w:bookmarkStart w:id="0" w:name="_GoBack"/>
            <w:bookmarkEnd w:id="0"/>
            <w:r w:rsidR="004F4BC0">
              <w:rPr>
                <w:rFonts w:ascii="Arial" w:hAnsi="Arial" w:cs="Arial"/>
                <w:sz w:val="20"/>
                <w:szCs w:val="20"/>
              </w:rPr>
              <w:t>aterial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Joint Stock Company</w:t>
            </w:r>
          </w:p>
        </w:tc>
      </w:tr>
      <w:tr w:rsidR="00565962" w:rsidTr="00565962">
        <w:tc>
          <w:tcPr>
            <w:tcW w:w="2988" w:type="dxa"/>
          </w:tcPr>
          <w:p w:rsidR="00565962" w:rsidRP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Eligible buyers</w:t>
            </w:r>
          </w:p>
        </w:tc>
        <w:tc>
          <w:tcPr>
            <w:tcW w:w="6588" w:type="dxa"/>
          </w:tcPr>
          <w:p w:rsidR="00565962" w:rsidRDefault="00565962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xisting shareholders according to the list of shareholders on the </w:t>
            </w:r>
            <w:r>
              <w:rPr>
                <w:rFonts w:ascii="Arial" w:hAnsi="Arial" w:cs="Arial"/>
                <w:sz w:val="20"/>
                <w:szCs w:val="20"/>
              </w:rPr>
              <w:t>record date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entitled to receiv</w:t>
            </w:r>
            <w:r>
              <w:rPr>
                <w:rFonts w:ascii="Arial" w:hAnsi="Arial" w:cs="Arial"/>
                <w:sz w:val="20"/>
                <w:szCs w:val="20"/>
              </w:rPr>
              <w:t xml:space="preserve">e dividend by shares announced </w:t>
            </w:r>
            <w:r w:rsidRPr="00565962">
              <w:rPr>
                <w:rFonts w:ascii="Arial" w:hAnsi="Arial" w:cs="Arial"/>
                <w:sz w:val="20"/>
                <w:szCs w:val="20"/>
              </w:rPr>
              <w:t>by VSD</w:t>
            </w:r>
          </w:p>
        </w:tc>
      </w:tr>
      <w:tr w:rsidR="00565962" w:rsidTr="00565962">
        <w:tc>
          <w:tcPr>
            <w:tcW w:w="2988" w:type="dxa"/>
          </w:tcPr>
          <w:p w:rsidR="00565962" w:rsidRDefault="004F4BC0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Exercise ratio</w:t>
            </w:r>
          </w:p>
        </w:tc>
        <w:tc>
          <w:tcPr>
            <w:tcW w:w="6588" w:type="dxa"/>
          </w:tcPr>
          <w:p w:rsidR="00565962" w:rsidRDefault="004F4BC0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100:</w:t>
            </w:r>
            <w:r w:rsidRPr="00565962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Pr="00565962">
              <w:rPr>
                <w:rFonts w:ascii="Arial" w:hAnsi="Arial" w:cs="Arial"/>
                <w:sz w:val="20"/>
                <w:szCs w:val="20"/>
              </w:rPr>
              <w:t>hareholders</w:t>
            </w:r>
            <w:r>
              <w:rPr>
                <w:rFonts w:ascii="Arial" w:hAnsi="Arial" w:cs="Arial"/>
                <w:sz w:val="20"/>
                <w:szCs w:val="20"/>
              </w:rPr>
              <w:t xml:space="preserve"> who own 100 shares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receive 25 additional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Pr="00565962">
              <w:rPr>
                <w:rFonts w:ascii="Arial" w:hAnsi="Arial" w:cs="Arial"/>
                <w:sz w:val="20"/>
                <w:szCs w:val="20"/>
              </w:rPr>
              <w:t>shares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4BC0" w:rsidTr="00565962">
        <w:tc>
          <w:tcPr>
            <w:tcW w:w="2988" w:type="dxa"/>
          </w:tcPr>
          <w:p w:rsidR="004F4BC0" w:rsidRDefault="004F4BC0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Plan on handling fractional shares</w:t>
            </w:r>
          </w:p>
        </w:tc>
        <w:tc>
          <w:tcPr>
            <w:tcW w:w="6588" w:type="dxa"/>
          </w:tcPr>
          <w:p w:rsidR="004F4BC0" w:rsidRDefault="004F4BC0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962">
              <w:rPr>
                <w:rFonts w:ascii="Arial" w:hAnsi="Arial" w:cs="Arial"/>
                <w:sz w:val="20"/>
                <w:szCs w:val="20"/>
              </w:rPr>
              <w:t>Num</w:t>
            </w:r>
            <w:r>
              <w:rPr>
                <w:rFonts w:ascii="Arial" w:hAnsi="Arial" w:cs="Arial"/>
                <w:sz w:val="20"/>
                <w:szCs w:val="20"/>
              </w:rPr>
              <w:t>ber of shares received by each s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hareholder </w:t>
            </w:r>
            <w:r>
              <w:rPr>
                <w:rFonts w:ascii="Arial" w:hAnsi="Arial" w:cs="Arial"/>
                <w:sz w:val="20"/>
                <w:szCs w:val="20"/>
              </w:rPr>
              <w:t>at the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share issue 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will be rounded to </w:t>
            </w:r>
            <w:r>
              <w:rPr>
                <w:rFonts w:ascii="Arial" w:hAnsi="Arial" w:cs="Arial"/>
                <w:sz w:val="20"/>
                <w:szCs w:val="20"/>
              </w:rPr>
              <w:t>the digit unit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according to the principle of rounding down.  </w:t>
            </w:r>
            <w:r>
              <w:rPr>
                <w:rFonts w:ascii="Arial" w:hAnsi="Arial" w:cs="Arial"/>
                <w:sz w:val="20"/>
                <w:szCs w:val="20"/>
              </w:rPr>
              <w:t>The decimal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(if an</w:t>
            </w:r>
            <w:r>
              <w:rPr>
                <w:rFonts w:ascii="Arial" w:hAnsi="Arial" w:cs="Arial"/>
                <w:sz w:val="20"/>
                <w:szCs w:val="20"/>
              </w:rPr>
              <w:t>y) will be canceled, not issued</w:t>
            </w:r>
          </w:p>
          <w:p w:rsidR="004F4BC0" w:rsidRDefault="004F4BC0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example: Shareholder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Nguyen Van A owns 150 shares, shareholder A will receive additional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issued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shares </w:t>
            </w:r>
            <w:r>
              <w:rPr>
                <w:rFonts w:ascii="Arial" w:hAnsi="Arial" w:cs="Arial"/>
                <w:sz w:val="20"/>
                <w:szCs w:val="20"/>
              </w:rPr>
              <w:t>as follows: 150:100 x 25 = 37.</w:t>
            </w:r>
            <w:r w:rsidRPr="005659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; s</w:t>
            </w:r>
            <w:r w:rsidRPr="00565962">
              <w:rPr>
                <w:rFonts w:ascii="Arial" w:hAnsi="Arial" w:cs="Arial"/>
                <w:sz w:val="20"/>
                <w:szCs w:val="20"/>
              </w:rPr>
              <w:t>hareholders Nguye</w:t>
            </w:r>
            <w:r>
              <w:rPr>
                <w:rFonts w:ascii="Arial" w:hAnsi="Arial" w:cs="Arial"/>
                <w:sz w:val="20"/>
                <w:szCs w:val="20"/>
              </w:rPr>
              <w:t>n Van A receives 37 new shares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Pr="00565962">
              <w:rPr>
                <w:rFonts w:ascii="Arial" w:hAnsi="Arial" w:cs="Arial"/>
                <w:sz w:val="20"/>
                <w:szCs w:val="20"/>
              </w:rPr>
              <w:t>will be canceled)</w:t>
            </w:r>
          </w:p>
        </w:tc>
      </w:tr>
      <w:tr w:rsidR="004F4BC0" w:rsidTr="00565962">
        <w:tc>
          <w:tcPr>
            <w:tcW w:w="2988" w:type="dxa"/>
          </w:tcPr>
          <w:p w:rsidR="004F4BC0" w:rsidRDefault="004F4BC0" w:rsidP="005659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Expected exercise time</w:t>
            </w:r>
          </w:p>
        </w:tc>
        <w:tc>
          <w:tcPr>
            <w:tcW w:w="6588" w:type="dxa"/>
          </w:tcPr>
          <w:p w:rsidR="004F4BC0" w:rsidRPr="00565962" w:rsidRDefault="004F4BC0" w:rsidP="004F4BC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II, III/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2020 after </w:t>
            </w:r>
            <w:r>
              <w:rPr>
                <w:rFonts w:ascii="Arial" w:hAnsi="Arial" w:cs="Arial"/>
                <w:sz w:val="20"/>
                <w:szCs w:val="20"/>
              </w:rPr>
              <w:t>approval of</w:t>
            </w:r>
            <w:r w:rsidRPr="0056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State Securities Commission</w:t>
            </w:r>
          </w:p>
        </w:tc>
      </w:tr>
    </w:tbl>
    <w:p w:rsidR="004F4BC0" w:rsidRDefault="004F4BC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5962" w:rsidRDefault="00565962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5962">
        <w:rPr>
          <w:rFonts w:ascii="Arial" w:hAnsi="Arial" w:cs="Arial"/>
          <w:sz w:val="20"/>
          <w:szCs w:val="20"/>
        </w:rPr>
        <w:t xml:space="preserve">Article 2: This </w:t>
      </w:r>
      <w:r w:rsidR="004F4BC0">
        <w:rPr>
          <w:rFonts w:ascii="Arial" w:hAnsi="Arial" w:cs="Arial"/>
          <w:sz w:val="20"/>
          <w:szCs w:val="20"/>
        </w:rPr>
        <w:t xml:space="preserve">Board resolution </w:t>
      </w:r>
      <w:r w:rsidRPr="00565962">
        <w:rPr>
          <w:rFonts w:ascii="Arial" w:hAnsi="Arial" w:cs="Arial"/>
          <w:sz w:val="20"/>
          <w:szCs w:val="20"/>
        </w:rPr>
        <w:t>take</w:t>
      </w:r>
      <w:r w:rsidR="004F4BC0">
        <w:rPr>
          <w:rFonts w:ascii="Arial" w:hAnsi="Arial" w:cs="Arial"/>
          <w:sz w:val="20"/>
          <w:szCs w:val="20"/>
        </w:rPr>
        <w:t>s effect from the signing date.</w:t>
      </w:r>
      <w:r w:rsidRPr="00565962">
        <w:rPr>
          <w:rFonts w:ascii="Arial" w:hAnsi="Arial" w:cs="Arial"/>
          <w:sz w:val="20"/>
          <w:szCs w:val="20"/>
        </w:rPr>
        <w:t xml:space="preserve"> Members of the Board of Directors, General Director of the Company and relevant departments are responsible</w:t>
      </w:r>
      <w:r w:rsidR="004F4BC0">
        <w:rPr>
          <w:rFonts w:ascii="Arial" w:hAnsi="Arial" w:cs="Arial"/>
          <w:sz w:val="20"/>
          <w:szCs w:val="20"/>
        </w:rPr>
        <w:t xml:space="preserve"> for implementing this Board resolution </w:t>
      </w:r>
    </w:p>
    <w:sectPr w:rsidR="0056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4F4BC0"/>
    <w:rsid w:val="00503DD6"/>
    <w:rsid w:val="0052379D"/>
    <w:rsid w:val="005610CB"/>
    <w:rsid w:val="00565962"/>
    <w:rsid w:val="00576A91"/>
    <w:rsid w:val="0058434E"/>
    <w:rsid w:val="005B40E5"/>
    <w:rsid w:val="00695ACD"/>
    <w:rsid w:val="006B04E8"/>
    <w:rsid w:val="006E15A6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109</cp:revision>
  <dcterms:created xsi:type="dcterms:W3CDTF">2019-10-16T10:03:00Z</dcterms:created>
  <dcterms:modified xsi:type="dcterms:W3CDTF">2020-04-07T14:51:00Z</dcterms:modified>
</cp:coreProperties>
</file>